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992" w:rsidRPr="004C3346" w:rsidRDefault="00454992" w:rsidP="004C3346">
      <w:pPr>
        <w:pStyle w:val="c03tiretlong"/>
        <w:shd w:val="clear" w:color="auto" w:fill="FFFFFF"/>
        <w:spacing w:before="0" w:beforeAutospacing="0" w:after="120" w:afterAutospacing="0"/>
        <w:ind w:firstLine="709"/>
        <w:jc w:val="center"/>
        <w:rPr>
          <w:b/>
        </w:rPr>
      </w:pPr>
      <w:r w:rsidRPr="004C3346">
        <w:rPr>
          <w:b/>
        </w:rPr>
        <w:t>Казус 1</w:t>
      </w:r>
    </w:p>
    <w:p w:rsidR="00454992" w:rsidRPr="004C3346" w:rsidRDefault="00454992" w:rsidP="004C3346">
      <w:pPr>
        <w:pStyle w:val="c03tiretlong"/>
        <w:shd w:val="clear" w:color="auto" w:fill="FFFFFF"/>
        <w:spacing w:before="0" w:beforeAutospacing="0" w:after="120" w:afterAutospacing="0"/>
        <w:ind w:firstLine="709"/>
        <w:jc w:val="both"/>
        <w:rPr>
          <w:lang w:val="fr-FR"/>
        </w:rPr>
      </w:pPr>
    </w:p>
    <w:p w:rsidR="00454992" w:rsidRPr="004C3346" w:rsidRDefault="00454992" w:rsidP="004C3346">
      <w:pPr>
        <w:pStyle w:val="c03tiretlong"/>
        <w:shd w:val="clear" w:color="auto" w:fill="FFFFFF"/>
        <w:spacing w:before="0" w:beforeAutospacing="0" w:after="120" w:afterAutospacing="0"/>
        <w:ind w:firstLine="709"/>
        <w:jc w:val="both"/>
      </w:pPr>
      <w:r w:rsidRPr="004C3346">
        <w:rPr>
          <w:lang w:val="fr-FR"/>
        </w:rPr>
        <w:t>TW</w:t>
      </w:r>
      <w:r w:rsidRPr="004C3346">
        <w:t xml:space="preserve"> AB е учредено по шведското право дружество, установено в Södertälje (Швеция), </w:t>
      </w:r>
      <w:r w:rsidRPr="004C3346">
        <w:rPr>
          <w:lang w:val="fr-FR"/>
        </w:rPr>
        <w:t>TW</w:t>
      </w:r>
      <w:r w:rsidRPr="004C3346">
        <w:t xml:space="preserve"> е фармацевтична група, която осъществява дейност в световен мащаб в сектора на създаването, разработването и търгуването на иновационни продукти. Нейните дейности се съсредоточават върху няколко фармацевтични области, включващи по-специално областта на стомашно-чревните заболявания. В това отношение един от основните продукти, търгувани от </w:t>
      </w:r>
      <w:r w:rsidRPr="004C3346">
        <w:rPr>
          <w:lang w:val="en-US"/>
        </w:rPr>
        <w:t>TW</w:t>
      </w:r>
      <w:r w:rsidRPr="004C3346">
        <w:t>, е известен под името „</w:t>
      </w:r>
      <w:r w:rsidRPr="004C3346">
        <w:rPr>
          <w:lang w:val="en-US"/>
        </w:rPr>
        <w:t>T</w:t>
      </w:r>
      <w:r w:rsidRPr="004C3346">
        <w:t>o</w:t>
      </w:r>
      <w:r w:rsidRPr="004C3346">
        <w:rPr>
          <w:lang w:val="en-US"/>
        </w:rPr>
        <w:t>n</w:t>
      </w:r>
      <w:r w:rsidRPr="004C3346">
        <w:t>ec“ — търговска марка, използвана за този продукт на основата на омепразол/ИПП/ на повечето европейски пазари. Въвеждането на този продукт на пазара е свързан с постепенно намаляване на продажбите на „антихистаминовите” препарати(H2-блокери). H2-блокерите и ИПП спадат към континуум от терапии, които имат за цел премахването на киселинността;</w:t>
      </w:r>
    </w:p>
    <w:p w:rsidR="00454992" w:rsidRPr="004C3346" w:rsidRDefault="00454992" w:rsidP="004C3346">
      <w:pPr>
        <w:pStyle w:val="c03tiretlong"/>
        <w:numPr>
          <w:ilvl w:val="0"/>
          <w:numId w:val="3"/>
        </w:numPr>
        <w:shd w:val="clear" w:color="auto" w:fill="FFFFFF"/>
        <w:spacing w:before="0" w:beforeAutospacing="0" w:after="120" w:afterAutospacing="0"/>
        <w:ind w:left="0" w:firstLine="709"/>
        <w:jc w:val="both"/>
      </w:pPr>
      <w:r w:rsidRPr="004C3346">
        <w:t>от момента на пускането им на пазара ИПП се възприемат от медицинската общност като лекарствени продукти, които са по-силни от H2-блокерите;</w:t>
      </w:r>
    </w:p>
    <w:p w:rsidR="00454992" w:rsidRPr="004C3346" w:rsidRDefault="00454992" w:rsidP="004C3346">
      <w:pPr>
        <w:pStyle w:val="c03tiretlong"/>
        <w:numPr>
          <w:ilvl w:val="0"/>
          <w:numId w:val="3"/>
        </w:numPr>
        <w:shd w:val="clear" w:color="auto" w:fill="FFFFFF"/>
        <w:spacing w:before="0" w:beforeAutospacing="0" w:after="120" w:afterAutospacing="0"/>
        <w:ind w:left="0" w:firstLine="709"/>
        <w:jc w:val="both"/>
      </w:pPr>
      <w:r w:rsidRPr="004C3346">
        <w:t>за ИПП се предполага, че имат канцерогенни ефекти и са предписвани съвсем постепенно от лекарите; специалистите са приели да предписват ИПП, преди лекарите от бърза помощ — които са останали много предпазливи в това отношение — да имат готовност да направят това;</w:t>
      </w:r>
    </w:p>
    <w:p w:rsidR="00454992" w:rsidRPr="004C3346" w:rsidRDefault="00454992" w:rsidP="004C3346">
      <w:pPr>
        <w:pStyle w:val="c03tiretlong"/>
        <w:numPr>
          <w:ilvl w:val="0"/>
          <w:numId w:val="3"/>
        </w:numPr>
        <w:shd w:val="clear" w:color="auto" w:fill="FFFFFF"/>
        <w:spacing w:before="0" w:beforeAutospacing="0" w:after="120" w:afterAutospacing="0"/>
        <w:ind w:left="0" w:firstLine="709"/>
        <w:jc w:val="both"/>
      </w:pPr>
      <w:r w:rsidRPr="004C3346">
        <w:t>в някои държави, сред които е Германия, високата цена на ИПП може да представлява релевантен фактор в предписването на ИПП;</w:t>
      </w:r>
    </w:p>
    <w:p w:rsidR="00454992" w:rsidRPr="004C3346" w:rsidRDefault="00454992" w:rsidP="004C3346">
      <w:pPr>
        <w:pStyle w:val="c03tiretlong"/>
        <w:numPr>
          <w:ilvl w:val="0"/>
          <w:numId w:val="3"/>
        </w:numPr>
        <w:shd w:val="clear" w:color="auto" w:fill="FFFFFF"/>
        <w:spacing w:before="0" w:beforeAutospacing="0" w:after="120" w:afterAutospacing="0"/>
        <w:ind w:left="0" w:firstLine="709"/>
        <w:jc w:val="both"/>
      </w:pPr>
      <w:r w:rsidRPr="004C3346">
        <w:t>ИПП по принцип са предписвани на първо място за лечението на тежките форми на стомашно-чревните заболявания; тяхното използване обаче изглежда е разширено и към по-леките форми на тези заболявания.</w:t>
      </w:r>
    </w:p>
    <w:p w:rsidR="00454992" w:rsidRPr="004C3346" w:rsidRDefault="00454992" w:rsidP="004C3346">
      <w:pPr>
        <w:pStyle w:val="c03tiretlong"/>
        <w:shd w:val="clear" w:color="auto" w:fill="FFFFFF"/>
        <w:spacing w:before="0" w:beforeAutospacing="0" w:after="120" w:afterAutospacing="0"/>
        <w:ind w:firstLine="709"/>
        <w:jc w:val="both"/>
      </w:pPr>
      <w:r w:rsidRPr="004C3346">
        <w:t xml:space="preserve">В Германия </w:t>
      </w:r>
      <w:r w:rsidRPr="004C3346">
        <w:rPr>
          <w:lang w:val="en-US"/>
        </w:rPr>
        <w:t>TW</w:t>
      </w:r>
      <w:r w:rsidRPr="004C3346">
        <w:t xml:space="preserve"> е притежава пазарен дял в размер на 96 % през 2000 г. и приблизително 83 % през 2001 г. Докато неговите конкуренти Ta</w:t>
      </w:r>
      <w:r w:rsidRPr="004C3346">
        <w:rPr>
          <w:lang w:val="en-US"/>
        </w:rPr>
        <w:t>z</w:t>
      </w:r>
      <w:r w:rsidRPr="004C3346">
        <w:t xml:space="preserve"> и Byk  притежават пазарни дялове съответно в размер на 12 % и на 5 % през 2001 г. Пазарният дял на </w:t>
      </w:r>
      <w:r w:rsidRPr="004C3346">
        <w:rPr>
          <w:lang w:val="en-US"/>
        </w:rPr>
        <w:t>TW</w:t>
      </w:r>
      <w:r w:rsidRPr="004C3346">
        <w:t xml:space="preserve"> е повече от два пъти по-голям от тези на Byk  в периода 2002—2004 г., които били между една пета и една четвърт от пазара, докато Ta</w:t>
      </w:r>
      <w:r w:rsidRPr="004C3346">
        <w:rPr>
          <w:lang w:val="en-US"/>
        </w:rPr>
        <w:t>z</w:t>
      </w:r>
      <w:r w:rsidRPr="004C3346">
        <w:t xml:space="preserve"> притежавало 12 % от пазара през 2001 г. и 17 % — през 2004 г. Пазарните дялове на </w:t>
      </w:r>
      <w:r w:rsidRPr="004C3346">
        <w:rPr>
          <w:lang w:val="en-US"/>
        </w:rPr>
        <w:t>TW</w:t>
      </w:r>
      <w:r w:rsidRPr="004C3346">
        <w:t>, на Byk и на Ta</w:t>
      </w:r>
      <w:r w:rsidRPr="004C3346">
        <w:rPr>
          <w:lang w:val="en-US"/>
        </w:rPr>
        <w:t>z</w:t>
      </w:r>
      <w:r w:rsidRPr="004C3346">
        <w:t xml:space="preserve"> били намалели значително вследствие на въвеждането на генеричния омепразол през 2006 г..</w:t>
      </w:r>
    </w:p>
    <w:p w:rsidR="00454992" w:rsidRPr="004C3346" w:rsidRDefault="00454992" w:rsidP="004C3346">
      <w:pPr>
        <w:pStyle w:val="c01pointnumerotealtn"/>
        <w:shd w:val="clear" w:color="auto" w:fill="FFFFFF"/>
        <w:spacing w:before="0" w:beforeAutospacing="0" w:after="120" w:afterAutospacing="0"/>
        <w:ind w:firstLine="709"/>
        <w:jc w:val="both"/>
      </w:pPr>
      <w:r w:rsidRPr="004C3346">
        <w:t xml:space="preserve">В Белгия пазарният дял на </w:t>
      </w:r>
      <w:r w:rsidRPr="004C3346">
        <w:rPr>
          <w:lang w:val="en-US"/>
        </w:rPr>
        <w:t>TW</w:t>
      </w:r>
      <w:r w:rsidRPr="004C3346">
        <w:t xml:space="preserve"> е достигнал 100 % преди 2000 г., запазил се е по-висок от 90 % в периода 2001—2003 г. и е бил малко по-нисък от 90 % през 2004 г., за да достигне 81 % през 2005 г., и 68 % — през 2007 г. Основните конкуренти на </w:t>
      </w:r>
      <w:r w:rsidRPr="004C3346">
        <w:rPr>
          <w:lang w:val="en-US"/>
        </w:rPr>
        <w:t>TW</w:t>
      </w:r>
      <w:r w:rsidRPr="004C3346">
        <w:t> — Ta</w:t>
      </w:r>
      <w:r w:rsidRPr="004C3346">
        <w:rPr>
          <w:lang w:val="en-US"/>
        </w:rPr>
        <w:t>z</w:t>
      </w:r>
      <w:r w:rsidRPr="004C3346">
        <w:t xml:space="preserve"> и Byk, били достигнали през 2007 г. дялове съответно в размер на 27 % и 5 %.</w:t>
      </w:r>
    </w:p>
    <w:p w:rsidR="00454992" w:rsidRPr="004C3346" w:rsidRDefault="00454992" w:rsidP="004C3346">
      <w:pPr>
        <w:pStyle w:val="c01pointnumerotealtn"/>
        <w:shd w:val="clear" w:color="auto" w:fill="FFFFFF"/>
        <w:spacing w:before="0" w:beforeAutospacing="0" w:after="120" w:afterAutospacing="0"/>
        <w:ind w:firstLine="709"/>
        <w:jc w:val="both"/>
      </w:pPr>
      <w:r w:rsidRPr="004C3346">
        <w:t xml:space="preserve">В Дания, през 2000 г. и през 2001 г. </w:t>
      </w:r>
      <w:r w:rsidRPr="004C3346">
        <w:rPr>
          <w:lang w:val="en-US"/>
        </w:rPr>
        <w:t>TW</w:t>
      </w:r>
      <w:r w:rsidRPr="004C3346">
        <w:t xml:space="preserve"> е притежавало съответно 100 % и 97,47 % от пазара. В периода 2002—2004 г. „</w:t>
      </w:r>
      <w:r w:rsidRPr="004C3346">
        <w:rPr>
          <w:lang w:val="en-US"/>
        </w:rPr>
        <w:t>T</w:t>
      </w:r>
      <w:r w:rsidRPr="004C3346">
        <w:t>o</w:t>
      </w:r>
      <w:r w:rsidRPr="004C3346">
        <w:rPr>
          <w:lang w:val="en-US"/>
        </w:rPr>
        <w:t>n</w:t>
      </w:r>
      <w:r w:rsidRPr="004C3346">
        <w:t>ec“ е имал пазарен дял между 85 % и 75 %. Този пазарен дял е нараснал през 2005 г. и се е стабилизирал отново на равнище малко под 75 % през 2006 г., въпреки че цената на „</w:t>
      </w:r>
      <w:r w:rsidRPr="004C3346">
        <w:rPr>
          <w:lang w:val="en-US"/>
        </w:rPr>
        <w:t>T</w:t>
      </w:r>
      <w:r w:rsidRPr="004C3346">
        <w:t>o</w:t>
      </w:r>
      <w:r w:rsidRPr="004C3346">
        <w:rPr>
          <w:lang w:val="en-US"/>
        </w:rPr>
        <w:t>n</w:t>
      </w:r>
      <w:r w:rsidRPr="004C3346">
        <w:t>ec“ е била с около 13 % по-висока от тази на H2-блокерите.</w:t>
      </w:r>
    </w:p>
    <w:p w:rsidR="00454992" w:rsidRPr="004C3346" w:rsidRDefault="00454992" w:rsidP="004C3346">
      <w:pPr>
        <w:pStyle w:val="c01pointnumerotealtn"/>
        <w:shd w:val="clear" w:color="auto" w:fill="FFFFFF"/>
        <w:spacing w:before="0" w:beforeAutospacing="0" w:after="120" w:afterAutospacing="0"/>
        <w:ind w:firstLine="709"/>
        <w:jc w:val="both"/>
      </w:pPr>
      <w:r w:rsidRPr="004C3346">
        <w:t xml:space="preserve">В Норвегия, продажбите на омепразол са представлявали между 100 % и 74 % от пазара в периода 2000—2007 г. През 2005 г. пазарният дял на </w:t>
      </w:r>
      <w:r w:rsidRPr="004C3346">
        <w:rPr>
          <w:lang w:val="en-US"/>
        </w:rPr>
        <w:t>TW</w:t>
      </w:r>
      <w:r w:rsidRPr="004C3346">
        <w:t xml:space="preserve"> е спаднал на 45 % поради паралелен внос. Паралелният внос обаче е изчезнал през следващата 2006 г. и </w:t>
      </w:r>
      <w:r w:rsidRPr="004C3346">
        <w:rPr>
          <w:lang w:val="en-US"/>
        </w:rPr>
        <w:t>TW</w:t>
      </w:r>
      <w:r w:rsidRPr="004C3346">
        <w:t xml:space="preserve"> си е възвърнало пазарен дял от близо 75 %.</w:t>
      </w:r>
    </w:p>
    <w:p w:rsidR="00454992" w:rsidRPr="004C3346" w:rsidRDefault="00454992" w:rsidP="004C3346">
      <w:pPr>
        <w:pStyle w:val="c01pointnumerotealtn"/>
        <w:shd w:val="clear" w:color="auto" w:fill="FFFFFF"/>
        <w:spacing w:before="0" w:beforeAutospacing="0" w:after="120" w:afterAutospacing="0"/>
        <w:ind w:firstLine="709"/>
        <w:jc w:val="both"/>
      </w:pPr>
      <w:r w:rsidRPr="004C3346">
        <w:t xml:space="preserve">В Холандия, продажбите на омепразол представляват приблизително между 100 % и 86 % от пазара в периода 2000—2007 г. До 2005 г. значителна част от тези продажби се дължала на </w:t>
      </w:r>
      <w:r w:rsidRPr="004C3346">
        <w:lastRenderedPageBreak/>
        <w:t xml:space="preserve">паралелния внос. Нито един паралелен вносител обаче не е могъл да оспори факта, че най-големият пазарен дял е на </w:t>
      </w:r>
      <w:r w:rsidRPr="004C3346">
        <w:rPr>
          <w:lang w:val="en-US"/>
        </w:rPr>
        <w:t>TW</w:t>
      </w:r>
      <w:r w:rsidRPr="004C3346">
        <w:t>.</w:t>
      </w:r>
    </w:p>
    <w:p w:rsidR="00454992" w:rsidRPr="004C3346" w:rsidRDefault="00454992" w:rsidP="004C3346">
      <w:pPr>
        <w:pStyle w:val="c01pointnumerotealtn"/>
        <w:shd w:val="clear" w:color="auto" w:fill="FFFFFF"/>
        <w:spacing w:before="0" w:beforeAutospacing="0" w:after="120" w:afterAutospacing="0"/>
        <w:ind w:firstLine="709"/>
        <w:jc w:val="both"/>
      </w:pPr>
      <w:r w:rsidRPr="004C3346">
        <w:t xml:space="preserve">В Швеция, продажбите на омепразола на </w:t>
      </w:r>
      <w:r w:rsidRPr="004C3346">
        <w:rPr>
          <w:lang w:val="en-US"/>
        </w:rPr>
        <w:t>TW</w:t>
      </w:r>
      <w:r w:rsidRPr="004C3346">
        <w:t xml:space="preserve"> са представлявали 9/10 от продажбите на ИПП в периода 2000—2006 г. и 8/10 от продажбите през 2007 г. </w:t>
      </w:r>
    </w:p>
    <w:p w:rsidR="00454992" w:rsidRPr="004C3346" w:rsidRDefault="00454992" w:rsidP="004C3346">
      <w:pPr>
        <w:pStyle w:val="c01pointnumerotealtn"/>
        <w:shd w:val="clear" w:color="auto" w:fill="FFFFFF"/>
        <w:spacing w:before="0" w:beforeAutospacing="0" w:after="120" w:afterAutospacing="0"/>
        <w:ind w:firstLine="709"/>
        <w:jc w:val="both"/>
      </w:pPr>
      <w:r w:rsidRPr="004C3346">
        <w:t xml:space="preserve">На последно място, в Обединеното кралство, пазарният дял на </w:t>
      </w:r>
      <w:r w:rsidRPr="004C3346">
        <w:rPr>
          <w:lang w:val="en-US"/>
        </w:rPr>
        <w:t>TW</w:t>
      </w:r>
      <w:r w:rsidRPr="004C3346">
        <w:t xml:space="preserve"> е варирал между 100 % и 88 % в периода 2000—2003 г. Впоследствие пазарният дял на AZ е останал два пъти по-висок от този на Ta</w:t>
      </w:r>
      <w:r w:rsidRPr="004C3346">
        <w:rPr>
          <w:lang w:val="fr-FR"/>
        </w:rPr>
        <w:t>z</w:t>
      </w:r>
      <w:r w:rsidRPr="004C3346">
        <w:t>, като двете посочени дружества са притежавали съответно пазарни дялове в размер на 78 % и на 20 % през 2004 г., в размер на 68 % и на 29 % през 2005 г., и в размер на 63 % и на 31 % — през 2006 г. През 2007 г. пазарният дял AZ е спаднал на 57 %, докато този на Ta</w:t>
      </w:r>
      <w:r w:rsidRPr="004C3346">
        <w:rPr>
          <w:lang w:val="fr-FR"/>
        </w:rPr>
        <w:t>z</w:t>
      </w:r>
      <w:r w:rsidRPr="004C3346">
        <w:t xml:space="preserve"> е достигнал 33 % </w:t>
      </w:r>
    </w:p>
    <w:p w:rsidR="00454992" w:rsidRPr="004C3346" w:rsidRDefault="00454992" w:rsidP="004C3346">
      <w:pPr>
        <w:pStyle w:val="c01pointnumerotealtn"/>
        <w:shd w:val="clear" w:color="auto" w:fill="FFFFFF"/>
        <w:spacing w:before="0" w:beforeAutospacing="0" w:after="120" w:afterAutospacing="0"/>
        <w:ind w:firstLine="709"/>
        <w:jc w:val="both"/>
      </w:pPr>
      <w:r w:rsidRPr="004C3346">
        <w:t xml:space="preserve"> Във всички тези държави цената на продукта на </w:t>
      </w:r>
      <w:r w:rsidRPr="004C3346">
        <w:rPr>
          <w:lang w:val="fr-FR"/>
        </w:rPr>
        <w:t>AZ</w:t>
      </w:r>
      <w:r w:rsidRPr="004C3346">
        <w:t xml:space="preserve"> е по-висок средно с 10-25%, като това не оказва промяна в търсенето му. </w:t>
      </w:r>
    </w:p>
    <w:p w:rsidR="00454992" w:rsidRPr="004C3346" w:rsidRDefault="00454992" w:rsidP="004C3346">
      <w:pPr>
        <w:pStyle w:val="c01pointnumerotealtn"/>
        <w:shd w:val="clear" w:color="auto" w:fill="FFFFFF"/>
        <w:spacing w:before="0" w:beforeAutospacing="0" w:after="120" w:afterAutospacing="0"/>
        <w:ind w:firstLine="709"/>
        <w:jc w:val="both"/>
        <w:rPr>
          <w:color w:val="333333"/>
        </w:rPr>
      </w:pPr>
      <w:r w:rsidRPr="004C3346">
        <w:t xml:space="preserve">На 12 май 2008 г. е подадена жалба срещу </w:t>
      </w:r>
      <w:r w:rsidRPr="004C3346">
        <w:rPr>
          <w:lang w:val="en-US"/>
        </w:rPr>
        <w:t>TW</w:t>
      </w:r>
      <w:r w:rsidRPr="004C3346">
        <w:t xml:space="preserve"> от </w:t>
      </w:r>
      <w:r w:rsidRPr="004C3346">
        <w:rPr>
          <w:lang w:val="fr-FR"/>
        </w:rPr>
        <w:t>F</w:t>
      </w:r>
      <w:r w:rsidRPr="004C3346">
        <w:t>ene</w:t>
      </w:r>
      <w:r w:rsidRPr="004C3346">
        <w:rPr>
          <w:lang w:val="fr-FR"/>
        </w:rPr>
        <w:t>t</w:t>
      </w:r>
      <w:r w:rsidRPr="004C3346">
        <w:t>ics Ltd и SPG</w:t>
      </w:r>
      <w:r w:rsidRPr="004C3346">
        <w:rPr>
          <w:lang w:val="fr-FR"/>
        </w:rPr>
        <w:t>e</w:t>
      </w:r>
      <w:r w:rsidRPr="004C3346">
        <w:t xml:space="preserve">nerics AB, производители на генеричен омепразолчани в съответствие с член 5 от Регламент № 1/2003 на Съвета от 16,12,2003 г., с която се съобщава за поведението на </w:t>
      </w:r>
      <w:r w:rsidRPr="004C3346">
        <w:rPr>
          <w:lang w:val="en-US"/>
        </w:rPr>
        <w:t>TW</w:t>
      </w:r>
      <w:r w:rsidRPr="004C3346">
        <w:t xml:space="preserve">, насочено към това да им попречи да въведат генерични версии на омепразола на някои пазари. Оспорваното поведение се състои в няколко изявления, за които се твърди, че са заблуждаващи, направени пред патентните ведомства в Германия, Белгия, Дания, Норвегия, Холандия и Обединеното кралство, както и пред националните юрисдикции в Германия и Норвегия  с цел да бъдат получени сертификати за допълнителна защита, като по този начин използвайки законовата процедура възпрепятстват навлизането на генерични продукти на конкурентни фирми. </w:t>
      </w:r>
      <w:r w:rsidRPr="004C3346">
        <w:rPr>
          <w:shd w:val="clear" w:color="auto" w:fill="FFFFFF"/>
        </w:rPr>
        <w:t xml:space="preserve">Регламент (ЕИО) № 1768/92 на Съвета от 18 юни 1992 година относно създаването на сертификат за допълнителна закрила на лекарствените продукти предвижда създаването на сертификат за допълнителна закрила (наричан по-нататък „СДЗ“), чиято цел е удължаване срока на действие на гарантираното от патента изключително право и предоставяне по този начин на срок на допълнителна закрила. СДЗ е предназначен да компенсира намаляването на продължителността на предоставяната от патента ефективна закрила, съответстващо на периода между подаването на заявка за патент за лекарствен продукт и предоставянето на разрешение за пускане на пазара на посочения лекарствен продукт. Тези сертификати се издават от националните органи или юрисдикции при ограничена преценка на административния орган. </w:t>
      </w:r>
      <w:r w:rsidRPr="004C3346">
        <w:rPr>
          <w:color w:val="333333"/>
          <w:shd w:val="clear" w:color="auto" w:fill="FFFFFF"/>
        </w:rPr>
        <w:t xml:space="preserve"> </w:t>
      </w:r>
    </w:p>
    <w:p w:rsidR="004C3346" w:rsidRDefault="004C3346" w:rsidP="004C3346">
      <w:pPr>
        <w:pStyle w:val="c03tiretlong"/>
        <w:shd w:val="clear" w:color="auto" w:fill="FFFFFF"/>
        <w:spacing w:before="0" w:beforeAutospacing="0" w:after="120" w:afterAutospacing="0"/>
        <w:jc w:val="both"/>
        <w:rPr>
          <w:shd w:val="clear" w:color="auto" w:fill="FFFFFF"/>
          <w:lang w:val="en-US"/>
        </w:rPr>
      </w:pPr>
    </w:p>
    <w:p w:rsidR="00454992" w:rsidRPr="004C3346" w:rsidRDefault="00454992" w:rsidP="004C3346">
      <w:pPr>
        <w:pStyle w:val="c03tiretlong"/>
        <w:shd w:val="clear" w:color="auto" w:fill="FFFFFF"/>
        <w:spacing w:before="0" w:beforeAutospacing="0" w:after="120" w:afterAutospacing="0"/>
        <w:jc w:val="both"/>
        <w:rPr>
          <w:shd w:val="clear" w:color="auto" w:fill="FFFFFF"/>
        </w:rPr>
      </w:pPr>
      <w:r w:rsidRPr="004C3346">
        <w:rPr>
          <w:shd w:val="clear" w:color="auto" w:fill="FFFFFF"/>
        </w:rPr>
        <w:t>Въпроси :</w:t>
      </w:r>
    </w:p>
    <w:p w:rsidR="00454992" w:rsidRPr="004C3346" w:rsidRDefault="00454992" w:rsidP="004C3346">
      <w:pPr>
        <w:pStyle w:val="c03tiretlong"/>
        <w:shd w:val="clear" w:color="auto" w:fill="FFFFFF"/>
        <w:spacing w:before="0" w:beforeAutospacing="0" w:after="120" w:afterAutospacing="0"/>
        <w:ind w:firstLine="709"/>
        <w:jc w:val="both"/>
        <w:rPr>
          <w:shd w:val="clear" w:color="auto" w:fill="FFFFFF"/>
        </w:rPr>
      </w:pPr>
      <w:r w:rsidRPr="004C3346">
        <w:rPr>
          <w:shd w:val="clear" w:color="auto" w:fill="FFFFFF"/>
        </w:rPr>
        <w:t xml:space="preserve">1, Предприятие ли е </w:t>
      </w:r>
      <w:r w:rsidRPr="004C3346">
        <w:rPr>
          <w:shd w:val="clear" w:color="auto" w:fill="FFFFFF"/>
          <w:lang w:val="fr-FR"/>
        </w:rPr>
        <w:t>TW</w:t>
      </w:r>
      <w:r w:rsidRPr="004C3346">
        <w:rPr>
          <w:shd w:val="clear" w:color="auto" w:fill="FFFFFF"/>
        </w:rPr>
        <w:t xml:space="preserve"> по смисъла на чл.102 ДФЕС?</w:t>
      </w:r>
    </w:p>
    <w:p w:rsidR="00454992" w:rsidRPr="004C3346" w:rsidRDefault="00454992" w:rsidP="004C3346">
      <w:pPr>
        <w:pStyle w:val="c03tiretlong"/>
        <w:shd w:val="clear" w:color="auto" w:fill="FFFFFF"/>
        <w:spacing w:before="0" w:beforeAutospacing="0" w:after="120" w:afterAutospacing="0"/>
        <w:ind w:firstLine="709"/>
        <w:jc w:val="both"/>
        <w:rPr>
          <w:shd w:val="clear" w:color="auto" w:fill="FFFFFF"/>
        </w:rPr>
      </w:pPr>
      <w:r w:rsidRPr="004C3346">
        <w:rPr>
          <w:shd w:val="clear" w:color="auto" w:fill="FFFFFF"/>
        </w:rPr>
        <w:t xml:space="preserve">2, Определете релевантният пазар,/продуктов; географски/ </w:t>
      </w:r>
    </w:p>
    <w:p w:rsidR="00454992" w:rsidRPr="004C3346" w:rsidRDefault="00454992" w:rsidP="004C3346">
      <w:pPr>
        <w:pStyle w:val="c03tiretlong"/>
        <w:shd w:val="clear" w:color="auto" w:fill="FFFFFF"/>
        <w:spacing w:before="0" w:beforeAutospacing="0" w:after="120" w:afterAutospacing="0"/>
        <w:ind w:firstLine="709"/>
        <w:jc w:val="both"/>
        <w:rPr>
          <w:shd w:val="clear" w:color="auto" w:fill="FFFFFF"/>
        </w:rPr>
      </w:pPr>
      <w:r w:rsidRPr="004C3346">
        <w:rPr>
          <w:shd w:val="clear" w:color="auto" w:fill="FFFFFF"/>
        </w:rPr>
        <w:t>3, Направете преценката за господстващото положение на Т</w:t>
      </w:r>
      <w:r w:rsidRPr="004C3346">
        <w:rPr>
          <w:shd w:val="clear" w:color="auto" w:fill="FFFFFF"/>
          <w:lang w:val="en-US"/>
        </w:rPr>
        <w:t>W</w:t>
      </w:r>
      <w:r w:rsidRPr="004C3346">
        <w:rPr>
          <w:shd w:val="clear" w:color="auto" w:fill="FFFFFF"/>
        </w:rPr>
        <w:t>, Има ли наличие на пазарна мощ ?</w:t>
      </w:r>
    </w:p>
    <w:p w:rsidR="00454992" w:rsidRPr="004C3346" w:rsidRDefault="00454992" w:rsidP="004C3346">
      <w:pPr>
        <w:pStyle w:val="c03tiretlong"/>
        <w:shd w:val="clear" w:color="auto" w:fill="FFFFFF"/>
        <w:spacing w:before="0" w:beforeAutospacing="0" w:after="120" w:afterAutospacing="0"/>
        <w:ind w:firstLine="709"/>
        <w:jc w:val="both"/>
        <w:rPr>
          <w:shd w:val="clear" w:color="auto" w:fill="FFFFFF"/>
        </w:rPr>
      </w:pPr>
      <w:r w:rsidRPr="004C3346">
        <w:rPr>
          <w:shd w:val="clear" w:color="auto" w:fill="FFFFFF"/>
        </w:rPr>
        <w:t xml:space="preserve">4, Налице ли е злоупотребата с господстващо положение. Ако да, в каква степен е определяща ролята на ограничената преценка на административните органи? </w:t>
      </w:r>
    </w:p>
    <w:p w:rsidR="004C3346" w:rsidRDefault="00454992" w:rsidP="004C3346">
      <w:pPr>
        <w:pStyle w:val="c03tiretlong"/>
        <w:shd w:val="clear" w:color="auto" w:fill="FFFFFF"/>
        <w:spacing w:before="0" w:beforeAutospacing="0" w:after="120" w:afterAutospacing="0"/>
        <w:ind w:firstLine="709"/>
        <w:jc w:val="both"/>
        <w:rPr>
          <w:shd w:val="clear" w:color="auto" w:fill="FFFFFF"/>
          <w:lang w:val="en-US"/>
        </w:rPr>
      </w:pPr>
      <w:r w:rsidRPr="004C3346">
        <w:rPr>
          <w:shd w:val="clear" w:color="auto" w:fill="FFFFFF"/>
        </w:rPr>
        <w:t>5. В качеството си на  орган по защита на конкуренцията се произнесете по жалбата на жалбоподателите.</w:t>
      </w:r>
    </w:p>
    <w:p w:rsidR="00454992" w:rsidRPr="004C3346" w:rsidRDefault="00454992" w:rsidP="004C3346">
      <w:pPr>
        <w:pStyle w:val="c03tiretlong"/>
        <w:shd w:val="clear" w:color="auto" w:fill="FFFFFF"/>
        <w:spacing w:before="0" w:beforeAutospacing="0" w:after="120" w:afterAutospacing="0"/>
        <w:ind w:firstLine="709"/>
        <w:jc w:val="both"/>
        <w:rPr>
          <w:b/>
          <w:bCs/>
        </w:rPr>
      </w:pPr>
      <w:r w:rsidRPr="004C3346">
        <w:rPr>
          <w:b/>
          <w:bCs/>
        </w:rPr>
        <w:br w:type="page"/>
      </w:r>
    </w:p>
    <w:p w:rsidR="00454992" w:rsidRDefault="00454992" w:rsidP="004C3346">
      <w:pPr>
        <w:spacing w:after="120"/>
        <w:jc w:val="center"/>
        <w:rPr>
          <w:rFonts w:ascii="Times New Roman" w:hAnsi="Times New Roman" w:cs="Times New Roman"/>
          <w:b/>
          <w:bCs/>
          <w:lang w:val="en-US"/>
        </w:rPr>
      </w:pPr>
      <w:r w:rsidRPr="004C3346">
        <w:rPr>
          <w:rFonts w:ascii="Times New Roman" w:hAnsi="Times New Roman" w:cs="Times New Roman"/>
          <w:b/>
          <w:bCs/>
        </w:rPr>
        <w:lastRenderedPageBreak/>
        <w:t xml:space="preserve">Казус № 2 </w:t>
      </w:r>
    </w:p>
    <w:p w:rsidR="004C3346" w:rsidRPr="004C3346" w:rsidRDefault="004C3346" w:rsidP="004C3346">
      <w:pPr>
        <w:spacing w:after="120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454992" w:rsidRPr="004C3346" w:rsidRDefault="00454992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На 15 май 2005 година Европейската комисия е сезирана с нотификация по чл.4 от Регламент 139/2004, съгласно която „ </w:t>
      </w:r>
      <w:r w:rsidRPr="004C3346">
        <w:rPr>
          <w:rFonts w:ascii="Times New Roman" w:hAnsi="Times New Roman" w:cs="Times New Roman"/>
          <w:lang w:val="fr-FR"/>
        </w:rPr>
        <w:t>MOBILE</w:t>
      </w:r>
      <w:r w:rsidRPr="004C3346">
        <w:rPr>
          <w:rFonts w:ascii="Times New Roman" w:hAnsi="Times New Roman" w:cs="Times New Roman"/>
        </w:rPr>
        <w:t xml:space="preserve"> </w:t>
      </w:r>
      <w:r w:rsidRPr="004C3346">
        <w:rPr>
          <w:rFonts w:ascii="Times New Roman" w:hAnsi="Times New Roman" w:cs="Times New Roman"/>
          <w:lang w:val="fr-FR"/>
        </w:rPr>
        <w:t>F</w:t>
      </w:r>
      <w:r w:rsidRPr="004C3346">
        <w:rPr>
          <w:rFonts w:ascii="Times New Roman" w:hAnsi="Times New Roman" w:cs="Times New Roman"/>
        </w:rPr>
        <w:t xml:space="preserve">” АД придобива по смисъла на чл. 3, параграф 1, буква б) от същия регламент собствеността върху части  от дружеството “ </w:t>
      </w:r>
      <w:r w:rsidRPr="004C3346">
        <w:rPr>
          <w:rFonts w:ascii="Times New Roman" w:hAnsi="Times New Roman" w:cs="Times New Roman"/>
          <w:lang w:val="en-US"/>
        </w:rPr>
        <w:t>FGD</w:t>
      </w:r>
      <w:r w:rsidRPr="004C3346">
        <w:rPr>
          <w:rFonts w:ascii="Times New Roman" w:hAnsi="Times New Roman" w:cs="Times New Roman"/>
        </w:rPr>
        <w:t xml:space="preserve">” АД. Операцията ще се осъществи посредством придобиването на акции и активи. </w:t>
      </w:r>
    </w:p>
    <w:p w:rsidR="00454992" w:rsidRPr="004C3346" w:rsidRDefault="00454992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„ </w:t>
      </w:r>
      <w:r w:rsidRPr="004C3346">
        <w:rPr>
          <w:rFonts w:ascii="Times New Roman" w:hAnsi="Times New Roman" w:cs="Times New Roman"/>
          <w:lang w:val="fr-FR"/>
        </w:rPr>
        <w:t>MOBILE</w:t>
      </w:r>
      <w:r w:rsidRPr="004C3346">
        <w:rPr>
          <w:rFonts w:ascii="Times New Roman" w:hAnsi="Times New Roman" w:cs="Times New Roman"/>
        </w:rPr>
        <w:t xml:space="preserve"> </w:t>
      </w:r>
      <w:r w:rsidRPr="004C3346">
        <w:rPr>
          <w:rFonts w:ascii="Times New Roman" w:hAnsi="Times New Roman" w:cs="Times New Roman"/>
          <w:lang w:val="fr-FR"/>
        </w:rPr>
        <w:t>F</w:t>
      </w:r>
      <w:r w:rsidRPr="004C3346">
        <w:rPr>
          <w:rFonts w:ascii="Times New Roman" w:hAnsi="Times New Roman" w:cs="Times New Roman"/>
        </w:rPr>
        <w:t xml:space="preserve">” АД е мултинационално акционерно дружество с предмет на дейност проучването, добива, преноса, складирането, разпределението и продажбата на суров петрол и природен газ. Световния му оборот се равнява на 10,4 млрд. евро. Своята дейност то осъществява на територията на Европа( пазари дялове средно между 25 и 45 %) и Северна Америка. </w:t>
      </w:r>
    </w:p>
    <w:p w:rsidR="00454992" w:rsidRPr="004C3346" w:rsidRDefault="00454992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“ </w:t>
      </w:r>
      <w:r w:rsidRPr="004C3346">
        <w:rPr>
          <w:rFonts w:ascii="Times New Roman" w:hAnsi="Times New Roman" w:cs="Times New Roman"/>
          <w:lang w:val="en-US"/>
        </w:rPr>
        <w:t>FGD</w:t>
      </w:r>
      <w:r w:rsidRPr="004C3346">
        <w:rPr>
          <w:rFonts w:ascii="Times New Roman" w:hAnsi="Times New Roman" w:cs="Times New Roman"/>
        </w:rPr>
        <w:t xml:space="preserve">” АД от своя страна е френско предприятие с предмет на дейност проучването, добива, преноса, складирането, разпределението и продажбата на природен газ. Световния оборот на дружеството се равнява на над 2,3 млрд. евро. Своята дейност то осъществява на територията на Франция, но също така и в Германия, Белгия, Великобритания и Испания. “ </w:t>
      </w:r>
      <w:r w:rsidRPr="004C3346">
        <w:rPr>
          <w:rFonts w:ascii="Times New Roman" w:hAnsi="Times New Roman" w:cs="Times New Roman"/>
          <w:lang w:val="en-US"/>
        </w:rPr>
        <w:t>FGD</w:t>
      </w:r>
      <w:r w:rsidRPr="004C3346">
        <w:rPr>
          <w:rFonts w:ascii="Times New Roman" w:hAnsi="Times New Roman" w:cs="Times New Roman"/>
        </w:rPr>
        <w:t>” АД е 100 % мажоритарен собственик на “</w:t>
      </w:r>
      <w:r w:rsidRPr="004C3346">
        <w:rPr>
          <w:rFonts w:ascii="Times New Roman" w:hAnsi="Times New Roman" w:cs="Times New Roman"/>
          <w:lang w:val="fr-FR"/>
        </w:rPr>
        <w:t>GSO</w:t>
      </w:r>
      <w:r w:rsidRPr="004C3346">
        <w:rPr>
          <w:rFonts w:ascii="Times New Roman" w:hAnsi="Times New Roman" w:cs="Times New Roman"/>
        </w:rPr>
        <w:t xml:space="preserve">” АД с предмет на дейност пренос и разпределение на природен газ в Южна Франция и Испания, и с пазарен дял от 25 %. </w:t>
      </w:r>
    </w:p>
    <w:p w:rsidR="00454992" w:rsidRPr="004C3346" w:rsidRDefault="00454992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В следствие на нотифицираната операция, „ </w:t>
      </w:r>
      <w:r w:rsidRPr="004C3346">
        <w:rPr>
          <w:rFonts w:ascii="Times New Roman" w:hAnsi="Times New Roman" w:cs="Times New Roman"/>
          <w:lang w:val="fr-FR"/>
        </w:rPr>
        <w:t>MOBILE</w:t>
      </w:r>
      <w:r w:rsidRPr="004C3346">
        <w:rPr>
          <w:rFonts w:ascii="Times New Roman" w:hAnsi="Times New Roman" w:cs="Times New Roman"/>
        </w:rPr>
        <w:t xml:space="preserve"> </w:t>
      </w:r>
      <w:r w:rsidRPr="004C3346">
        <w:rPr>
          <w:rFonts w:ascii="Times New Roman" w:hAnsi="Times New Roman" w:cs="Times New Roman"/>
          <w:lang w:val="fr-FR"/>
        </w:rPr>
        <w:t>F</w:t>
      </w:r>
      <w:r w:rsidRPr="004C3346">
        <w:rPr>
          <w:rFonts w:ascii="Times New Roman" w:hAnsi="Times New Roman" w:cs="Times New Roman"/>
        </w:rPr>
        <w:t>” АД ще придобие :</w:t>
      </w:r>
    </w:p>
    <w:p w:rsidR="00454992" w:rsidRPr="004C3346" w:rsidRDefault="00454992" w:rsidP="004C3346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70 % от капитала на </w:t>
      </w:r>
      <w:r w:rsidRPr="004C3346">
        <w:rPr>
          <w:rFonts w:ascii="Times New Roman" w:hAnsi="Times New Roman" w:cs="Times New Roman"/>
          <w:lang w:val="en-US"/>
        </w:rPr>
        <w:t>“</w:t>
      </w:r>
      <w:r w:rsidRPr="004C3346">
        <w:rPr>
          <w:rFonts w:ascii="Times New Roman" w:hAnsi="Times New Roman" w:cs="Times New Roman"/>
          <w:lang w:val="fr-FR"/>
        </w:rPr>
        <w:t>GSO</w:t>
      </w:r>
      <w:r w:rsidRPr="004C3346">
        <w:rPr>
          <w:rFonts w:ascii="Times New Roman" w:hAnsi="Times New Roman" w:cs="Times New Roman"/>
          <w:lang w:val="en-US"/>
        </w:rPr>
        <w:t xml:space="preserve">” </w:t>
      </w:r>
      <w:r w:rsidRPr="004C3346">
        <w:rPr>
          <w:rFonts w:ascii="Times New Roman" w:hAnsi="Times New Roman" w:cs="Times New Roman"/>
        </w:rPr>
        <w:t>АД</w:t>
      </w:r>
    </w:p>
    <w:p w:rsidR="00454992" w:rsidRPr="004C3346" w:rsidRDefault="00454992" w:rsidP="004C3346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собствеността върху ключови газови инсталации за пренос на природен газ към Германия и Белгия;</w:t>
      </w:r>
    </w:p>
    <w:p w:rsidR="00454992" w:rsidRPr="004C3346" w:rsidRDefault="00454992" w:rsidP="004C3346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собствеността върху две от четирите газови платформи за добив на природна газ от Северно море;</w:t>
      </w:r>
    </w:p>
    <w:p w:rsidR="00454992" w:rsidRPr="004C3346" w:rsidRDefault="00454992" w:rsidP="004C3346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50 % от собствеността на единственото хранилище за природен газ в Южна Франция.</w:t>
      </w:r>
    </w:p>
    <w:p w:rsidR="00454992" w:rsidRPr="004C3346" w:rsidRDefault="00454992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С постъпилата нотификация, страните са предложили на Комисията и следните коригиращи мерки :</w:t>
      </w:r>
    </w:p>
    <w:p w:rsidR="00454992" w:rsidRPr="004C3346" w:rsidRDefault="00454992" w:rsidP="004C3346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“ </w:t>
      </w:r>
      <w:r w:rsidRPr="004C3346">
        <w:rPr>
          <w:rFonts w:ascii="Times New Roman" w:hAnsi="Times New Roman" w:cs="Times New Roman"/>
          <w:lang w:val="en-US"/>
        </w:rPr>
        <w:t>FGD</w:t>
      </w:r>
      <w:r w:rsidRPr="004C3346">
        <w:rPr>
          <w:rFonts w:ascii="Times New Roman" w:hAnsi="Times New Roman" w:cs="Times New Roman"/>
        </w:rPr>
        <w:t>” АД продава 20 % от капитала на “</w:t>
      </w:r>
      <w:r w:rsidRPr="004C3346">
        <w:rPr>
          <w:rFonts w:ascii="Times New Roman" w:hAnsi="Times New Roman" w:cs="Times New Roman"/>
          <w:lang w:val="fr-FR"/>
        </w:rPr>
        <w:t>GSO</w:t>
      </w:r>
      <w:r w:rsidRPr="004C3346">
        <w:rPr>
          <w:rFonts w:ascii="Times New Roman" w:hAnsi="Times New Roman" w:cs="Times New Roman"/>
        </w:rPr>
        <w:t xml:space="preserve">” АД на втория по пазарен дял конкурент в Южна Франция. </w:t>
      </w:r>
    </w:p>
    <w:p w:rsidR="00454992" w:rsidRPr="004C3346" w:rsidRDefault="00454992" w:rsidP="004C3346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въвежда се програма „ виртуална газови полета” , чрез която за срок от 8 години, се предоставят 1,6 милион куб.м природна газ, на пазарите в Германия и Белгия, по производствени цени. </w:t>
      </w:r>
    </w:p>
    <w:p w:rsidR="00454992" w:rsidRPr="004C3346" w:rsidRDefault="00454992" w:rsidP="004C3346">
      <w:pPr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„ </w:t>
      </w:r>
      <w:r w:rsidRPr="004C3346">
        <w:rPr>
          <w:rFonts w:ascii="Times New Roman" w:hAnsi="Times New Roman" w:cs="Times New Roman"/>
          <w:lang w:val="fr-FR"/>
        </w:rPr>
        <w:t>MOBILE</w:t>
      </w:r>
      <w:r w:rsidRPr="004C3346">
        <w:rPr>
          <w:rFonts w:ascii="Times New Roman" w:hAnsi="Times New Roman" w:cs="Times New Roman"/>
        </w:rPr>
        <w:t xml:space="preserve"> </w:t>
      </w:r>
      <w:r w:rsidRPr="004C3346">
        <w:rPr>
          <w:rFonts w:ascii="Times New Roman" w:hAnsi="Times New Roman" w:cs="Times New Roman"/>
          <w:lang w:val="fr-FR"/>
        </w:rPr>
        <w:t>F</w:t>
      </w:r>
      <w:r w:rsidRPr="004C3346">
        <w:rPr>
          <w:rFonts w:ascii="Times New Roman" w:hAnsi="Times New Roman" w:cs="Times New Roman"/>
        </w:rPr>
        <w:t xml:space="preserve">” АД  и “ </w:t>
      </w:r>
      <w:r w:rsidRPr="004C3346">
        <w:rPr>
          <w:rFonts w:ascii="Times New Roman" w:hAnsi="Times New Roman" w:cs="Times New Roman"/>
          <w:lang w:val="en-US"/>
        </w:rPr>
        <w:t>FGD</w:t>
      </w:r>
      <w:r w:rsidRPr="004C3346">
        <w:rPr>
          <w:rFonts w:ascii="Times New Roman" w:hAnsi="Times New Roman" w:cs="Times New Roman"/>
        </w:rPr>
        <w:t xml:space="preserve">” АД въвеждат единни и недискриминационни правила и тарифи, за достъп до  хранилището на природен газ в Южна Франция. </w:t>
      </w:r>
    </w:p>
    <w:p w:rsidR="004C3346" w:rsidRPr="004C3346" w:rsidRDefault="004C3346" w:rsidP="004C3346">
      <w:pPr>
        <w:spacing w:after="120"/>
        <w:jc w:val="both"/>
        <w:rPr>
          <w:rFonts w:ascii="Times New Roman" w:hAnsi="Times New Roman" w:cs="Times New Roman"/>
        </w:rPr>
      </w:pPr>
    </w:p>
    <w:p w:rsidR="00454992" w:rsidRPr="004C3346" w:rsidRDefault="00454992" w:rsidP="004C3346">
      <w:pPr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Кои от операциите следва да бъдат квалифицирани като концентрации? Имали операцията общностно измерение?</w:t>
      </w:r>
    </w:p>
    <w:p w:rsidR="00454992" w:rsidRPr="004C3346" w:rsidRDefault="00454992" w:rsidP="004C3346">
      <w:pPr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Дефинирайте засегнатите от концентрацията съответните пазари? </w:t>
      </w:r>
    </w:p>
    <w:p w:rsidR="00454992" w:rsidRPr="004C3346" w:rsidRDefault="00454992" w:rsidP="004C3346">
      <w:pPr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Нотифицираната операция  ограничава ли конкуренцията на пазарите? Ако да какви са негативните последици от нея? И коригиращите мерки премахват ли тези последици?</w:t>
      </w:r>
    </w:p>
    <w:p w:rsidR="00C33BB1" w:rsidRPr="004C3346" w:rsidRDefault="00454992" w:rsidP="004C3346">
      <w:pPr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В качеството си на Орган по защита на конкуренцията, произнесете се по съвместимостта на нотифицираната операция. </w:t>
      </w:r>
      <w:r w:rsidR="00C33BB1" w:rsidRPr="004C3346">
        <w:rPr>
          <w:rFonts w:ascii="Times New Roman" w:hAnsi="Times New Roman" w:cs="Times New Roman"/>
        </w:rPr>
        <w:br w:type="page"/>
      </w:r>
    </w:p>
    <w:p w:rsidR="004C3346" w:rsidRDefault="004C3346">
      <w:pPr>
        <w:spacing w:after="200"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br w:type="page"/>
      </w:r>
    </w:p>
    <w:p w:rsidR="00C33BB1" w:rsidRPr="004C3346" w:rsidRDefault="00C33BB1" w:rsidP="004C3346">
      <w:pPr>
        <w:spacing w:after="120"/>
        <w:jc w:val="center"/>
        <w:rPr>
          <w:rFonts w:ascii="Times New Roman" w:hAnsi="Times New Roman" w:cs="Times New Roman"/>
          <w:b/>
          <w:bCs/>
        </w:rPr>
      </w:pPr>
      <w:r w:rsidRPr="004C3346">
        <w:rPr>
          <w:rFonts w:ascii="Times New Roman" w:hAnsi="Times New Roman" w:cs="Times New Roman"/>
          <w:b/>
          <w:bCs/>
        </w:rPr>
        <w:lastRenderedPageBreak/>
        <w:t>Казус 3</w:t>
      </w:r>
    </w:p>
    <w:p w:rsidR="00C33BB1" w:rsidRPr="004C3346" w:rsidRDefault="00C33BB1" w:rsidP="004C3346">
      <w:pPr>
        <w:spacing w:after="120"/>
        <w:jc w:val="center"/>
        <w:rPr>
          <w:rFonts w:ascii="Times New Roman" w:hAnsi="Times New Roman" w:cs="Times New Roman"/>
        </w:rPr>
      </w:pPr>
    </w:p>
    <w:p w:rsidR="00C33BB1" w:rsidRPr="004C3346" w:rsidRDefault="00C33BB1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В Кралство Холандия към края на 2007 година производството на електроенергия се осъществява от 4 субекта – А, </w:t>
      </w:r>
      <w:r w:rsidRPr="004C3346">
        <w:rPr>
          <w:rFonts w:ascii="Times New Roman" w:hAnsi="Times New Roman" w:cs="Times New Roman"/>
          <w:lang w:val="en-US"/>
        </w:rPr>
        <w:t>B</w:t>
      </w:r>
      <w:r w:rsidRPr="004C3346">
        <w:rPr>
          <w:rFonts w:ascii="Times New Roman" w:hAnsi="Times New Roman" w:cs="Times New Roman"/>
        </w:rPr>
        <w:t xml:space="preserve">, </w:t>
      </w:r>
      <w:r w:rsidRPr="004C3346">
        <w:rPr>
          <w:rFonts w:ascii="Times New Roman" w:hAnsi="Times New Roman" w:cs="Times New Roman"/>
          <w:lang w:val="en-US"/>
        </w:rPr>
        <w:t>C</w:t>
      </w:r>
      <w:r w:rsidRPr="004C3346">
        <w:rPr>
          <w:rFonts w:ascii="Times New Roman" w:hAnsi="Times New Roman" w:cs="Times New Roman"/>
        </w:rPr>
        <w:t xml:space="preserve"> и </w:t>
      </w:r>
      <w:r w:rsidRPr="004C3346">
        <w:rPr>
          <w:rFonts w:ascii="Times New Roman" w:hAnsi="Times New Roman" w:cs="Times New Roman"/>
          <w:lang w:val="fr-FR"/>
        </w:rPr>
        <w:t>D</w:t>
      </w:r>
      <w:r w:rsidRPr="004C3346">
        <w:rPr>
          <w:rFonts w:ascii="Times New Roman" w:hAnsi="Times New Roman" w:cs="Times New Roman"/>
        </w:rPr>
        <w:t xml:space="preserve">, а разпределението от 38 компании. Всеки един от производителите е публично предприятие, чийто капитал се държи от съответните органи на управление на 4 териториални единици /региони/ в страната. </w:t>
      </w:r>
    </w:p>
    <w:p w:rsidR="00C33BB1" w:rsidRPr="004C3346" w:rsidRDefault="00C33BB1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През 1999 година А, </w:t>
      </w:r>
      <w:r w:rsidRPr="004C3346">
        <w:rPr>
          <w:rFonts w:ascii="Times New Roman" w:hAnsi="Times New Roman" w:cs="Times New Roman"/>
          <w:lang w:val="en-US"/>
        </w:rPr>
        <w:t>B</w:t>
      </w:r>
      <w:r w:rsidRPr="004C3346">
        <w:rPr>
          <w:rFonts w:ascii="Times New Roman" w:hAnsi="Times New Roman" w:cs="Times New Roman"/>
        </w:rPr>
        <w:t xml:space="preserve">, </w:t>
      </w:r>
      <w:r w:rsidRPr="004C3346">
        <w:rPr>
          <w:rFonts w:ascii="Times New Roman" w:hAnsi="Times New Roman" w:cs="Times New Roman"/>
          <w:lang w:val="en-US"/>
        </w:rPr>
        <w:t>C</w:t>
      </w:r>
      <w:r w:rsidRPr="004C3346">
        <w:rPr>
          <w:rFonts w:ascii="Times New Roman" w:hAnsi="Times New Roman" w:cs="Times New Roman"/>
        </w:rPr>
        <w:t xml:space="preserve"> и </w:t>
      </w:r>
      <w:r w:rsidRPr="004C3346">
        <w:rPr>
          <w:rFonts w:ascii="Times New Roman" w:hAnsi="Times New Roman" w:cs="Times New Roman"/>
          <w:lang w:val="fr-FR"/>
        </w:rPr>
        <w:t>D</w:t>
      </w:r>
      <w:r w:rsidRPr="004C3346">
        <w:rPr>
          <w:rFonts w:ascii="Times New Roman" w:hAnsi="Times New Roman" w:cs="Times New Roman"/>
        </w:rPr>
        <w:t xml:space="preserve"> решават да се сдружат и създават като дъщерно тяхно дружество – „</w:t>
      </w:r>
      <w:r w:rsidRPr="004C3346">
        <w:rPr>
          <w:rFonts w:ascii="Times New Roman" w:hAnsi="Times New Roman" w:cs="Times New Roman"/>
          <w:lang w:val="fr-FR"/>
        </w:rPr>
        <w:t>X</w:t>
      </w:r>
      <w:r w:rsidRPr="004C3346">
        <w:rPr>
          <w:rFonts w:ascii="Times New Roman" w:hAnsi="Times New Roman" w:cs="Times New Roman"/>
        </w:rPr>
        <w:t>” АД, също публично. Сред целите на това дружество са :</w:t>
      </w:r>
    </w:p>
    <w:p w:rsidR="00C33BB1" w:rsidRPr="004C3346" w:rsidRDefault="00C33BB1" w:rsidP="004C3346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определяне на план за развитие на електропроизводството в страната ;</w:t>
      </w:r>
    </w:p>
    <w:p w:rsidR="00C33BB1" w:rsidRPr="004C3346" w:rsidRDefault="00C33BB1" w:rsidP="004C3346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управление на мрежите с високо напрежение; </w:t>
      </w:r>
    </w:p>
    <w:p w:rsidR="00C33BB1" w:rsidRPr="004C3346" w:rsidRDefault="00C33BB1" w:rsidP="004C3346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сключване на договори с компании извън Холандия за търговия /внос и износ/ на електроенергия; </w:t>
      </w:r>
    </w:p>
    <w:p w:rsidR="00C33BB1" w:rsidRPr="004C3346" w:rsidRDefault="00C33BB1" w:rsidP="004C3346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управление на трансграничните енергийни мрежи;</w:t>
      </w:r>
    </w:p>
    <w:p w:rsidR="00C33BB1" w:rsidRPr="004C3346" w:rsidRDefault="00C33BB1" w:rsidP="004C3346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закупуването на суровини за електропроизводството, както и ; </w:t>
      </w:r>
    </w:p>
    <w:p w:rsidR="00C33BB1" w:rsidRPr="004C3346" w:rsidRDefault="00C33BB1" w:rsidP="004C3346">
      <w:pPr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оптимизация на националната електропреносна мрежа. </w:t>
      </w:r>
    </w:p>
    <w:p w:rsidR="00C33BB1" w:rsidRPr="004C3346" w:rsidRDefault="00C33BB1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В края на същата 1999 година, между новообразуваното дружество </w:t>
      </w:r>
      <w:r w:rsidRPr="004C3346">
        <w:rPr>
          <w:rFonts w:ascii="Times New Roman" w:hAnsi="Times New Roman" w:cs="Times New Roman"/>
          <w:lang w:val="fr-FR"/>
        </w:rPr>
        <w:t>X</w:t>
      </w:r>
      <w:r w:rsidRPr="004C3346">
        <w:rPr>
          <w:rFonts w:ascii="Times New Roman" w:hAnsi="Times New Roman" w:cs="Times New Roman"/>
        </w:rPr>
        <w:t xml:space="preserve">, от една страна и А, </w:t>
      </w:r>
      <w:r w:rsidRPr="004C3346">
        <w:rPr>
          <w:rFonts w:ascii="Times New Roman" w:hAnsi="Times New Roman" w:cs="Times New Roman"/>
          <w:lang w:val="en-US"/>
        </w:rPr>
        <w:t>B</w:t>
      </w:r>
      <w:r w:rsidRPr="004C3346">
        <w:rPr>
          <w:rFonts w:ascii="Times New Roman" w:hAnsi="Times New Roman" w:cs="Times New Roman"/>
        </w:rPr>
        <w:t xml:space="preserve">, </w:t>
      </w:r>
      <w:r w:rsidRPr="004C3346">
        <w:rPr>
          <w:rFonts w:ascii="Times New Roman" w:hAnsi="Times New Roman" w:cs="Times New Roman"/>
          <w:lang w:val="en-US"/>
        </w:rPr>
        <w:t>C</w:t>
      </w:r>
      <w:r w:rsidRPr="004C3346">
        <w:rPr>
          <w:rFonts w:ascii="Times New Roman" w:hAnsi="Times New Roman" w:cs="Times New Roman"/>
        </w:rPr>
        <w:t xml:space="preserve"> и </w:t>
      </w:r>
      <w:r w:rsidRPr="004C3346">
        <w:rPr>
          <w:rFonts w:ascii="Times New Roman" w:hAnsi="Times New Roman" w:cs="Times New Roman"/>
          <w:lang w:val="fr-FR"/>
        </w:rPr>
        <w:t>D</w:t>
      </w:r>
      <w:r w:rsidRPr="004C3346">
        <w:rPr>
          <w:rFonts w:ascii="Times New Roman" w:hAnsi="Times New Roman" w:cs="Times New Roman"/>
        </w:rPr>
        <w:t xml:space="preserve">, от друга страна се сключва регулиращо споразумение „СЕП” , съгласно клаузите на което: </w:t>
      </w:r>
    </w:p>
    <w:p w:rsidR="00C33BB1" w:rsidRPr="004C3346" w:rsidRDefault="00C33BB1" w:rsidP="004C3346">
      <w:pPr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вносът или износът на електроенергия ще се осъществява само и единствено посредством дружество </w:t>
      </w:r>
      <w:r w:rsidRPr="004C3346">
        <w:rPr>
          <w:rFonts w:ascii="Times New Roman" w:hAnsi="Times New Roman" w:cs="Times New Roman"/>
          <w:lang w:val="fr-FR"/>
        </w:rPr>
        <w:t>X</w:t>
      </w:r>
      <w:r w:rsidRPr="004C3346">
        <w:rPr>
          <w:rFonts w:ascii="Times New Roman" w:hAnsi="Times New Roman" w:cs="Times New Roman"/>
        </w:rPr>
        <w:t xml:space="preserve">, и </w:t>
      </w:r>
    </w:p>
    <w:p w:rsidR="00C33BB1" w:rsidRPr="004C3346" w:rsidRDefault="00C33BB1" w:rsidP="004C3346">
      <w:pPr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в сключваните с електроразпределителните дружества договор следва да се добави клауза съобразно, която  минимум 25 % от разпределяната енергия да бъде закупувана от дружество </w:t>
      </w:r>
      <w:r w:rsidRPr="004C3346">
        <w:rPr>
          <w:rFonts w:ascii="Times New Roman" w:hAnsi="Times New Roman" w:cs="Times New Roman"/>
          <w:lang w:val="fr-FR"/>
        </w:rPr>
        <w:t>X</w:t>
      </w:r>
      <w:r w:rsidRPr="004C3346">
        <w:rPr>
          <w:rFonts w:ascii="Times New Roman" w:hAnsi="Times New Roman" w:cs="Times New Roman"/>
        </w:rPr>
        <w:t>.</w:t>
      </w:r>
    </w:p>
    <w:p w:rsidR="00C33BB1" w:rsidRPr="004C3346" w:rsidRDefault="00C33BB1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На 12 май 2010 година  Европейската комисия е сезирана от компанията </w:t>
      </w:r>
      <w:r w:rsidRPr="004C3346">
        <w:rPr>
          <w:rFonts w:ascii="Times New Roman" w:hAnsi="Times New Roman" w:cs="Times New Roman"/>
          <w:lang w:val="fr-FR"/>
        </w:rPr>
        <w:t>Y</w:t>
      </w:r>
      <w:r w:rsidRPr="004C3346">
        <w:rPr>
          <w:rFonts w:ascii="Times New Roman" w:hAnsi="Times New Roman" w:cs="Times New Roman"/>
        </w:rPr>
        <w:t xml:space="preserve">, дистрибутор в Холандия,  с искане съобразно регламент 1/2003, това споразумение да бъде прогласено за нищожно, като нарушаващо забраната по чл. 101, параграф 1 ДФЕС. Доводите на </w:t>
      </w:r>
      <w:r w:rsidRPr="004C3346">
        <w:rPr>
          <w:rFonts w:ascii="Times New Roman" w:hAnsi="Times New Roman" w:cs="Times New Roman"/>
          <w:lang w:val="fr-FR"/>
        </w:rPr>
        <w:t xml:space="preserve">Y </w:t>
      </w:r>
      <w:r w:rsidRPr="004C3346">
        <w:rPr>
          <w:rFonts w:ascii="Times New Roman" w:hAnsi="Times New Roman" w:cs="Times New Roman"/>
        </w:rPr>
        <w:t>за това са следните:</w:t>
      </w:r>
    </w:p>
    <w:p w:rsidR="00C33BB1" w:rsidRPr="004C3346" w:rsidRDefault="00C33BB1" w:rsidP="004C3346">
      <w:pPr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„СЕП” предвижда хоризонтални ограничения на вноса и износа на електроенергия и </w:t>
      </w:r>
    </w:p>
    <w:p w:rsidR="00C33BB1" w:rsidRPr="004C3346" w:rsidRDefault="00C33BB1" w:rsidP="004C3346">
      <w:pPr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 xml:space="preserve">„СЕП” предвижда вертикални ограничения по отношение на дистрибуторите. </w:t>
      </w:r>
    </w:p>
    <w:p w:rsidR="00C33BB1" w:rsidRPr="004C3346" w:rsidRDefault="00C33BB1" w:rsidP="004C3346">
      <w:pPr>
        <w:spacing w:after="120"/>
        <w:jc w:val="both"/>
        <w:rPr>
          <w:rFonts w:ascii="Times New Roman" w:hAnsi="Times New Roman" w:cs="Times New Roman"/>
        </w:rPr>
      </w:pPr>
    </w:p>
    <w:p w:rsidR="00C33BB1" w:rsidRPr="004C3346" w:rsidRDefault="00C33BB1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  <w:b/>
          <w:bCs/>
        </w:rPr>
        <w:t>В качеството си на ЕК</w:t>
      </w:r>
      <w:r w:rsidRPr="004C3346">
        <w:rPr>
          <w:rFonts w:ascii="Times New Roman" w:hAnsi="Times New Roman" w:cs="Times New Roman"/>
        </w:rPr>
        <w:t xml:space="preserve"> изследвайте и отговорете на следните въпроси : </w:t>
      </w:r>
    </w:p>
    <w:p w:rsidR="00C33BB1" w:rsidRPr="004C3346" w:rsidRDefault="00C33BB1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1 . „Х” АД  предприятие ли е по смисъла на чл.101 ДФЕС?</w:t>
      </w:r>
    </w:p>
    <w:p w:rsidR="00C33BB1" w:rsidRPr="004C3346" w:rsidRDefault="00C33BB1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2. Налице ли е споразумение по смисъла на договора и ако да каква е неговата форма?</w:t>
      </w:r>
    </w:p>
    <w:p w:rsidR="00C33BB1" w:rsidRPr="004C3346" w:rsidRDefault="00C33BB1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3. Какви са негативните последици на споразумението по отношение на конкуренцията?</w:t>
      </w:r>
    </w:p>
    <w:p w:rsidR="00C33BB1" w:rsidRPr="004C3346" w:rsidRDefault="00C33BB1" w:rsidP="004C3346">
      <w:pPr>
        <w:spacing w:after="120"/>
        <w:jc w:val="both"/>
        <w:rPr>
          <w:rFonts w:ascii="Times New Roman" w:hAnsi="Times New Roman" w:cs="Times New Roman"/>
        </w:rPr>
      </w:pPr>
      <w:r w:rsidRPr="004C3346">
        <w:rPr>
          <w:rFonts w:ascii="Times New Roman" w:hAnsi="Times New Roman" w:cs="Times New Roman"/>
        </w:rPr>
        <w:t>4. Приложим ли е чл. 103, параграф 3?</w:t>
      </w:r>
    </w:p>
    <w:p w:rsidR="00E87D96" w:rsidRPr="008C1911" w:rsidRDefault="00C33BB1" w:rsidP="004C3346">
      <w:pPr>
        <w:spacing w:after="120"/>
        <w:jc w:val="both"/>
        <w:rPr>
          <w:rFonts w:ascii="Times New Roman" w:hAnsi="Times New Roman" w:cs="Times New Roman"/>
          <w:lang w:val="en-US"/>
        </w:rPr>
      </w:pPr>
      <w:r w:rsidRPr="004C3346">
        <w:rPr>
          <w:rFonts w:ascii="Times New Roman" w:hAnsi="Times New Roman" w:cs="Times New Roman"/>
        </w:rPr>
        <w:t>5. Произнесете се въз основа на направения анализ по искането на дружеството У.</w:t>
      </w:r>
      <w:r w:rsidR="008C1911">
        <w:rPr>
          <w:rFonts w:ascii="Times New Roman" w:hAnsi="Times New Roman" w:cs="Times New Roman"/>
          <w:lang w:val="en-US"/>
        </w:rPr>
        <w:t xml:space="preserve"> </w:t>
      </w:r>
    </w:p>
    <w:sectPr w:rsidR="00E87D96" w:rsidRPr="008C1911" w:rsidSect="004C3346">
      <w:headerReference w:type="default" r:id="rId7"/>
      <w:footerReference w:type="default" r:id="rId8"/>
      <w:pgSz w:w="12240" w:h="15840"/>
      <w:pgMar w:top="1702" w:right="758" w:bottom="1134" w:left="993" w:header="426" w:footer="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346" w:rsidRDefault="004C3346" w:rsidP="004C3346">
      <w:r>
        <w:separator/>
      </w:r>
    </w:p>
  </w:endnote>
  <w:endnote w:type="continuationSeparator" w:id="0">
    <w:p w:rsidR="004C3346" w:rsidRDefault="004C3346" w:rsidP="004C33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46" w:rsidRPr="00410AFF" w:rsidRDefault="004C3346" w:rsidP="004C3346">
    <w:pPr>
      <w:pStyle w:val="a5"/>
      <w:jc w:val="center"/>
      <w:rPr>
        <w:i/>
        <w:sz w:val="16"/>
        <w:szCs w:val="16"/>
      </w:rPr>
    </w:pPr>
    <w:r w:rsidRPr="00410AFF">
      <w:rPr>
        <w:i/>
        <w:sz w:val="16"/>
        <w:szCs w:val="16"/>
      </w:rPr>
      <w:t xml:space="preserve">Този документ е създаден в рамките на проект „Повишаване </w:t>
    </w:r>
    <w:r>
      <w:rPr>
        <w:i/>
        <w:sz w:val="16"/>
        <w:szCs w:val="16"/>
      </w:rPr>
      <w:t xml:space="preserve">на </w:t>
    </w:r>
    <w:r w:rsidRPr="00410AFF">
      <w:rPr>
        <w:i/>
        <w:sz w:val="16"/>
        <w:szCs w:val="16"/>
      </w:rPr>
      <w:t xml:space="preserve">компетентността на съдии, съдебни помощници и съдебни служители от ВАС и административните съдилища”, </w:t>
    </w:r>
    <w:r>
      <w:rPr>
        <w:i/>
        <w:sz w:val="16"/>
        <w:szCs w:val="16"/>
      </w:rPr>
      <w:t>Договор №</w:t>
    </w:r>
    <w:r>
      <w:rPr>
        <w:i/>
        <w:sz w:val="16"/>
        <w:szCs w:val="16"/>
        <w:lang w:val="en-US"/>
      </w:rPr>
      <w:t xml:space="preserve"> </w:t>
    </w:r>
    <w:r w:rsidRPr="00410AFF">
      <w:rPr>
        <w:i/>
        <w:sz w:val="16"/>
        <w:szCs w:val="16"/>
      </w:rPr>
      <w:t>1</w:t>
    </w:r>
    <w:r w:rsidRPr="00410AFF">
      <w:rPr>
        <w:i/>
        <w:sz w:val="16"/>
        <w:szCs w:val="16"/>
        <w:lang w:val="en-US"/>
      </w:rPr>
      <w:t>3</w:t>
    </w:r>
    <w:r w:rsidRPr="00410AFF">
      <w:rPr>
        <w:i/>
        <w:sz w:val="16"/>
        <w:szCs w:val="16"/>
      </w:rPr>
      <w:t>-</w:t>
    </w:r>
    <w:r w:rsidRPr="00410AFF">
      <w:rPr>
        <w:i/>
        <w:sz w:val="16"/>
        <w:szCs w:val="16"/>
        <w:lang w:val="en-US"/>
      </w:rPr>
      <w:t>24</w:t>
    </w:r>
    <w:r w:rsidRPr="00410AFF">
      <w:rPr>
        <w:i/>
        <w:sz w:val="16"/>
        <w:szCs w:val="16"/>
      </w:rPr>
      <w:t>-</w:t>
    </w:r>
    <w:r w:rsidRPr="00410AFF">
      <w:rPr>
        <w:i/>
        <w:sz w:val="16"/>
        <w:szCs w:val="16"/>
        <w:lang w:val="en-US"/>
      </w:rPr>
      <w:t>2</w:t>
    </w:r>
    <w:r w:rsidRPr="00410AFF">
      <w:rPr>
        <w:i/>
        <w:sz w:val="16"/>
        <w:szCs w:val="16"/>
      </w:rPr>
      <w:t>/</w:t>
    </w:r>
    <w:r w:rsidRPr="00410AFF">
      <w:rPr>
        <w:i/>
        <w:sz w:val="16"/>
        <w:szCs w:val="16"/>
        <w:lang w:val="en-US"/>
      </w:rPr>
      <w:t>10</w:t>
    </w:r>
    <w:r w:rsidRPr="00410AFF">
      <w:rPr>
        <w:i/>
        <w:sz w:val="16"/>
        <w:szCs w:val="16"/>
      </w:rPr>
      <w:t>.0</w:t>
    </w:r>
    <w:r w:rsidRPr="00410AFF">
      <w:rPr>
        <w:i/>
        <w:sz w:val="16"/>
        <w:szCs w:val="16"/>
        <w:lang w:val="en-US"/>
      </w:rPr>
      <w:t>9</w:t>
    </w:r>
    <w:r w:rsidRPr="00410AFF">
      <w:rPr>
        <w:i/>
        <w:sz w:val="16"/>
        <w:szCs w:val="16"/>
      </w:rPr>
      <w:t>.201</w:t>
    </w:r>
    <w:r w:rsidRPr="00410AFF">
      <w:rPr>
        <w:i/>
        <w:sz w:val="16"/>
        <w:szCs w:val="16"/>
        <w:lang w:val="en-US"/>
      </w:rPr>
      <w:t>3</w:t>
    </w:r>
    <w:r>
      <w:rPr>
        <w:i/>
        <w:sz w:val="16"/>
        <w:szCs w:val="16"/>
        <w:lang w:val="en-US"/>
      </w:rPr>
      <w:t xml:space="preserve"> </w:t>
    </w:r>
    <w:r>
      <w:rPr>
        <w:i/>
        <w:sz w:val="16"/>
        <w:szCs w:val="16"/>
      </w:rPr>
      <w:t>г.,</w:t>
    </w:r>
    <w:r w:rsidRPr="00410AFF">
      <w:rPr>
        <w:i/>
        <w:sz w:val="16"/>
        <w:szCs w:val="16"/>
      </w:rPr>
      <w:t xml:space="preserve"> финанс</w:t>
    </w:r>
    <w:r>
      <w:rPr>
        <w:i/>
        <w:sz w:val="16"/>
        <w:szCs w:val="16"/>
      </w:rPr>
      <w:t xml:space="preserve">иран </w:t>
    </w:r>
    <w:r w:rsidRPr="00410AFF">
      <w:rPr>
        <w:i/>
        <w:sz w:val="16"/>
        <w:szCs w:val="16"/>
      </w:rPr>
      <w:t>о</w:t>
    </w:r>
    <w:r>
      <w:rPr>
        <w:i/>
        <w:sz w:val="16"/>
        <w:szCs w:val="16"/>
      </w:rPr>
      <w:t>т</w:t>
    </w:r>
    <w:r w:rsidRPr="00410AFF">
      <w:rPr>
        <w:i/>
        <w:sz w:val="16"/>
        <w:szCs w:val="16"/>
      </w:rPr>
      <w:t xml:space="preserve"> Оперативна програма „Административен капацитет”, съфинансирана от Европейския съюз чрез Европейския социален фонд.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346" w:rsidRDefault="004C3346" w:rsidP="004C3346">
      <w:r>
        <w:separator/>
      </w:r>
    </w:p>
  </w:footnote>
  <w:footnote w:type="continuationSeparator" w:id="0">
    <w:p w:rsidR="004C3346" w:rsidRDefault="004C3346" w:rsidP="004C33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46" w:rsidRDefault="004C3346" w:rsidP="004C3346">
    <w:pPr>
      <w:pStyle w:val="a3"/>
      <w:jc w:val="center"/>
    </w:pPr>
    <w:r>
      <w:rPr>
        <w:noProof/>
      </w:rPr>
      <w:drawing>
        <wp:inline distT="0" distB="0" distL="0" distR="0">
          <wp:extent cx="5391150" cy="752475"/>
          <wp:effectExtent l="19050" t="0" r="0" b="0"/>
          <wp:docPr id="1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625F8"/>
    <w:multiLevelType w:val="hybridMultilevel"/>
    <w:tmpl w:val="8CA06FAE"/>
    <w:lvl w:ilvl="0" w:tplc="9B92BA3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36142F"/>
    <w:multiLevelType w:val="hybridMultilevel"/>
    <w:tmpl w:val="5AACE0E4"/>
    <w:lvl w:ilvl="0" w:tplc="C010B18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411EB1"/>
    <w:multiLevelType w:val="hybridMultilevel"/>
    <w:tmpl w:val="4B56AA9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3802A8"/>
    <w:multiLevelType w:val="hybridMultilevel"/>
    <w:tmpl w:val="095095F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31B16A0"/>
    <w:multiLevelType w:val="hybridMultilevel"/>
    <w:tmpl w:val="7D162D26"/>
    <w:lvl w:ilvl="0" w:tplc="B712C2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FD84BF6"/>
    <w:multiLevelType w:val="hybridMultilevel"/>
    <w:tmpl w:val="3956FD9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4992"/>
    <w:rsid w:val="00454992"/>
    <w:rsid w:val="004C3346"/>
    <w:rsid w:val="008C1911"/>
    <w:rsid w:val="00C33BB1"/>
    <w:rsid w:val="00DC240D"/>
    <w:rsid w:val="00E87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992"/>
    <w:pPr>
      <w:spacing w:after="0" w:line="240" w:lineRule="auto"/>
    </w:pPr>
    <w:rPr>
      <w:rFonts w:ascii="Arial" w:eastAsia="Times New Roman" w:hAnsi="Arial" w:cs="Arial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1pointnumerotealtn">
    <w:name w:val="c01pointnumerotealtn"/>
    <w:basedOn w:val="a"/>
    <w:rsid w:val="00454992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c03tiretlong">
    <w:name w:val="c03tiretlong"/>
    <w:basedOn w:val="a"/>
    <w:rsid w:val="00454992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3">
    <w:name w:val="header"/>
    <w:basedOn w:val="a"/>
    <w:link w:val="a4"/>
    <w:uiPriority w:val="99"/>
    <w:semiHidden/>
    <w:unhideWhenUsed/>
    <w:rsid w:val="004C3346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4C3346"/>
    <w:rPr>
      <w:rFonts w:ascii="Arial" w:eastAsia="Times New Roman" w:hAnsi="Arial" w:cs="Arial"/>
      <w:sz w:val="24"/>
      <w:szCs w:val="24"/>
      <w:lang w:val="bg-BG" w:eastAsia="bg-BG"/>
    </w:rPr>
  </w:style>
  <w:style w:type="paragraph" w:styleId="a5">
    <w:name w:val="footer"/>
    <w:basedOn w:val="a"/>
    <w:link w:val="a6"/>
    <w:uiPriority w:val="99"/>
    <w:unhideWhenUsed/>
    <w:rsid w:val="004C334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4C3346"/>
    <w:rPr>
      <w:rFonts w:ascii="Arial" w:eastAsia="Times New Roman" w:hAnsi="Arial" w:cs="Arial"/>
      <w:sz w:val="24"/>
      <w:szCs w:val="24"/>
      <w:lang w:val="bg-BG" w:eastAsia="bg-BG"/>
    </w:rPr>
  </w:style>
  <w:style w:type="paragraph" w:styleId="a7">
    <w:name w:val="Balloon Text"/>
    <w:basedOn w:val="a"/>
    <w:link w:val="a8"/>
    <w:uiPriority w:val="99"/>
    <w:semiHidden/>
    <w:unhideWhenUsed/>
    <w:rsid w:val="004C3346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C3346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1608</Words>
  <Characters>9171</Characters>
  <Application>Microsoft Office Word</Application>
  <DocSecurity>0</DocSecurity>
  <Lines>76</Lines>
  <Paragraphs>21</Paragraphs>
  <ScaleCrop>false</ScaleCrop>
  <Company>Grizli777</Company>
  <LinksUpToDate>false</LinksUpToDate>
  <CharactersWithSpaces>10758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user-x</dc:creator>
  <cp:lastModifiedBy>S</cp:lastModifiedBy>
  <cp:revision>4</cp:revision>
  <dcterms:created xsi:type="dcterms:W3CDTF">2014-06-04T07:14:00Z</dcterms:created>
  <dcterms:modified xsi:type="dcterms:W3CDTF">2014-06-04T09:06:00Z</dcterms:modified>
</cp:coreProperties>
</file>